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Pomoćnici u nastavi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Potpomoći što uspješniju integraciju učenika s teškoćama u razvoju u redovni odgojno-obrazovni sustav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Program se realizira uključivanjem pomoćnika u nastavi učenicima s većim teškoćama u razvoju kao oblik pomoći u njihovoj što boljoj socijalnoj, odgojnoj i obrazovnoj integraciji. Korisnici usluga su učenici s dijagnozom </w:t>
            </w:r>
            <w:proofErr w:type="spellStart"/>
            <w:r>
              <w:t>Sy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>, učenik s teškoćama socijalno komunikacijskog razvoja, te učenici s poteškoćama u ponašanju.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Na temelju </w:t>
            </w:r>
            <w:proofErr w:type="spellStart"/>
            <w:r>
              <w:t>čl</w:t>
            </w:r>
            <w:proofErr w:type="spellEnd"/>
            <w:r>
              <w:t xml:space="preserve">. 143 Zakona o odgoju i obrazovanju u osnovnoj i srednjoj školi te </w:t>
            </w:r>
            <w:proofErr w:type="spellStart"/>
            <w:r>
              <w:t>čl</w:t>
            </w:r>
            <w:proofErr w:type="spellEnd"/>
            <w:r>
              <w:t>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Izračun potrebnih sredstava zasniva se na broju učenika kojima je odobren pomoćnik  u nastavi te tjednom fondu sati odobrenja za pomoćnika pojedinog učenika 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Razlog odstupanja u smislu povećanja broja pomoćnika za jedan, zbog većeg broja učenika s većim teškoćama te zbog razlike u načinu financiranja, većina pomoćnika financira se iz projekta „Pomoćnici u nastavi kao potpora </w:t>
            </w:r>
            <w:proofErr w:type="spellStart"/>
            <w:r>
              <w:t>inkluzivnom</w:t>
            </w:r>
            <w:proofErr w:type="spellEnd"/>
            <w:r>
              <w:t xml:space="preserve"> obrazovanju“.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Uspješna integracija učenika s teškoćama u redovne uvjete školovanja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 w:rsidP="00323895"/>
    <w:p w:rsidR="00224911" w:rsidRDefault="00224911"/>
    <w:p w:rsidR="00323895" w:rsidRDefault="00323895"/>
    <w:p w:rsidR="00323895" w:rsidRDefault="00323895"/>
    <w:tbl>
      <w:tblPr>
        <w:tblStyle w:val="Reetkatablice"/>
        <w:tblW w:w="0" w:type="auto"/>
        <w:tblLook w:val="04A0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Vikendom u školske dvorane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Uključivanje što većeg broja učenika u organizirane oblike bavljenja športskim aktivnostima u funkciji mentalnog , socijalnog i fizičkog zdravlja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Program se realizira sukladno Planu i programu tjelesno zdravstvene kulture odnosno slobodnih aktivnosti, korisnici učenici od 1.- 8. razreda pod vodstvom </w:t>
            </w:r>
            <w:proofErr w:type="spellStart"/>
            <w:r>
              <w:t>prof</w:t>
            </w:r>
            <w:proofErr w:type="spellEnd"/>
            <w:r>
              <w:t>. TZK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Na temelju </w:t>
            </w:r>
            <w:proofErr w:type="spellStart"/>
            <w:r>
              <w:t>čl</w:t>
            </w:r>
            <w:proofErr w:type="spellEnd"/>
            <w:r>
              <w:t xml:space="preserve">. 143 Zakona o odgoju i obrazovanju u osnovnoj i srednjoj školi te </w:t>
            </w:r>
            <w:proofErr w:type="spellStart"/>
            <w:r>
              <w:t>čl</w:t>
            </w:r>
            <w:proofErr w:type="spellEnd"/>
            <w:r>
              <w:t>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Broj sati zaduženja učitelja, voditelja programa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 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Uključenost učenika u razne sportove i uspjesi na natjecanjima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Škola u prirodi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Radom, učenjem i druženjem u prirodi provjeriti znanja i iskustva, vježbati i primjenjivati ih u stvarnoj životnoj sredini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Program se ostvaruje temeljem ustrojstva Škole u prirodi utvrđenog u Nastavnom planu i programu za osnovnu školu u Republici Hrvatskoj. Korisnici usluga su učenici trećih i četvrtih razreda. Učenici trećih razreda idu u Školu u prirodi na Sljeme, a učenici četvrtih razreda u Novi Vinodolski ili Crikvenicu.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Na temelju </w:t>
            </w:r>
            <w:proofErr w:type="spellStart"/>
            <w:r>
              <w:t>čl</w:t>
            </w:r>
            <w:proofErr w:type="spellEnd"/>
            <w:r>
              <w:t xml:space="preserve">. 143 Zakona o odgoju i obrazovanju u osnovnoj i srednjoj školi te </w:t>
            </w:r>
            <w:proofErr w:type="spellStart"/>
            <w:r>
              <w:t>čl</w:t>
            </w:r>
            <w:proofErr w:type="spellEnd"/>
            <w:r>
              <w:t>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Broj učenika u razredima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Razvoj socijalnih kompetencija kod učenika i poticanje iskustvenog učenja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Sufinancirana prehrana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Omogućiti zdrav obrok svim učenicima u školi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Grad Zagreb sufinancira dio realnih troškova prehrane učenika kao krajnjih korisnika, sukladno utvrđenim kriterijima i mjerilima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 xml:space="preserve">Na temelju </w:t>
            </w:r>
            <w:proofErr w:type="spellStart"/>
            <w:r>
              <w:t>čl</w:t>
            </w:r>
            <w:proofErr w:type="spellEnd"/>
            <w:r>
              <w:t xml:space="preserve">. 143 Zakona o odgoju i obrazovanju u osnovnoj i srednjoj školi te </w:t>
            </w:r>
            <w:proofErr w:type="spellStart"/>
            <w:r>
              <w:t>čl</w:t>
            </w:r>
            <w:proofErr w:type="spellEnd"/>
            <w:r>
              <w:t>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Izračun potrebnih sredstava zasniva se na analizi prava na sufinanciranje sukladno kriterijima i broju učenika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Razlog odstupanja od prošlogodišnjih projekcija je povećan broj učenika u produženom boravku 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postotak korisnika školske prehrane </w:t>
            </w:r>
            <w:r>
              <w:rPr>
                <w:color w:val="C0504D" w:themeColor="accent2"/>
              </w:rPr>
              <w:t>90</w:t>
            </w:r>
            <w:r w:rsidRPr="008D6E13">
              <w:rPr>
                <w:color w:val="C0504D" w:themeColor="accent2"/>
              </w:rPr>
              <w:t>% učenika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r>
              <w:t>Škola broji 543 učenika raspoređenih u 25 razredna odjela, nastava se izvodi u dvije smjene. Organizirane su 4 skupine produženog boravka za učenike 1. i 2. razreda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r w:rsidRPr="0085662F">
              <w:t> </w:t>
            </w:r>
            <w:r>
              <w:t>Produženi boravak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Odgojno obrazovni učinci na području odgojnih, pedagoških i socijalnih vrijednosti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Realizacija temeljem Plana i programa rada produženog boravka, korisnici učenici 1. i 2. razreda vođeni od učitelja u pisanju domaćih zadaća, učenju i organiziranom provođenju slobodnog vremena ( 104 učenika)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 xml:space="preserve">Na temelju </w:t>
            </w:r>
            <w:proofErr w:type="spellStart"/>
            <w:r>
              <w:t>čl</w:t>
            </w:r>
            <w:proofErr w:type="spellEnd"/>
            <w:r>
              <w:t xml:space="preserve">. 143 Zakona o odgoju i obrazovanju u osnovnoj i srednjoj školi te </w:t>
            </w:r>
            <w:proofErr w:type="spellStart"/>
            <w:r>
              <w:t>čl</w:t>
            </w:r>
            <w:proofErr w:type="spellEnd"/>
            <w:r>
              <w:t>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Broj učenika upisanih u program produženog boravka te kriteriji olakšica koje roditelji ostvaruju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 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obrazovni napredak učenika te razvoj socijalnih kompetencija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Obuka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Podučiti sve učenike tehnici plivanja u nižim razredima osnovne škole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Program se realizira temeljem nastavnog plana i programa koji je propisan od Ministarstva znanosti obrazovanja i športa Korisnici – učenici neplivači 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Nastavnog plana i programa koji je donijelo od Ministarstvo znanosti obrazovanja i športa 03.09.2006.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Broj učenika neplivača u startnoj provjeri 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savladana tehnika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Naknada za rad Školskog odbora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Poboljšanje standarda osnovnog školstva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Prema Godišnjem planu i programu rada škole i tekućoj problematici, korisnici – članovi Školskog odbora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Zaključak o naknadi predsjedniku i članovima tijela upravljanja javnih ustanova kojih je osnivač Grad Zagreb ( Službeni glasnik Grada Zagreba 4/09,8/09)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Prosječan broj sjednica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Kvaliteta upravljanja školom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sectPr w:rsidR="00323895" w:rsidSect="00D1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23895"/>
    <w:rsid w:val="00224911"/>
    <w:rsid w:val="00323895"/>
    <w:rsid w:val="006A10DE"/>
    <w:rsid w:val="00BE25EE"/>
    <w:rsid w:val="00DF0D2D"/>
    <w:rsid w:val="00E6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2016-02-24T13:56:00Z</dcterms:created>
  <dcterms:modified xsi:type="dcterms:W3CDTF">2016-02-24T13:58:00Z</dcterms:modified>
</cp:coreProperties>
</file>